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E4E0" w14:textId="2BA71AC9" w:rsidR="00D40753" w:rsidRDefault="006E23DE" w:rsidP="001C3AF5">
      <w:pPr>
        <w:pStyle w:val="BodyText"/>
        <w:jc w:val="center"/>
        <w:rPr>
          <w:b/>
          <w:bCs/>
          <w:caps/>
          <w:color w:val="0F243E"/>
          <w:sz w:val="28"/>
          <w:szCs w:val="28"/>
        </w:rPr>
      </w:pPr>
      <w:r>
        <w:rPr>
          <w:b/>
          <w:bCs/>
          <w:caps/>
          <w:color w:val="0F243E"/>
          <w:sz w:val="28"/>
          <w:szCs w:val="28"/>
        </w:rPr>
        <w:t xml:space="preserve">comparision of predicted versus </w:t>
      </w:r>
      <w:r w:rsidR="00E10AC6">
        <w:rPr>
          <w:b/>
          <w:bCs/>
          <w:caps/>
          <w:color w:val="0F243E"/>
          <w:sz w:val="28"/>
          <w:szCs w:val="28"/>
        </w:rPr>
        <w:t>Measured</w:t>
      </w:r>
      <w:r>
        <w:rPr>
          <w:b/>
          <w:bCs/>
          <w:caps/>
          <w:color w:val="0F243E"/>
          <w:sz w:val="28"/>
          <w:szCs w:val="28"/>
        </w:rPr>
        <w:t xml:space="preserve"> potentiometric surface of room and pillar mine pools</w:t>
      </w:r>
    </w:p>
    <w:p w14:paraId="72E2158D" w14:textId="77777777" w:rsidR="001C3AF5" w:rsidRDefault="001C3AF5" w:rsidP="001C3AF5">
      <w:pPr>
        <w:pStyle w:val="BodyText"/>
        <w:jc w:val="center"/>
        <w:rPr>
          <w:b/>
          <w:bCs/>
          <w:caps/>
          <w:color w:val="0F243E"/>
          <w:sz w:val="28"/>
          <w:szCs w:val="28"/>
        </w:rPr>
      </w:pPr>
    </w:p>
    <w:p w14:paraId="6661BA8F" w14:textId="77777777" w:rsidR="00D84C5B" w:rsidRDefault="00414A2D" w:rsidP="00414A2D">
      <w:pPr>
        <w:pStyle w:val="BodyText"/>
        <w:spacing w:line="360" w:lineRule="auto"/>
        <w:jc w:val="center"/>
      </w:pPr>
      <w:r>
        <w:t>B.</w:t>
      </w:r>
      <w:r w:rsidR="00E0473A">
        <w:t xml:space="preserve"> Means</w:t>
      </w:r>
      <w:r w:rsidRPr="00414A2D">
        <w:rPr>
          <w:vertAlign w:val="superscript"/>
        </w:rPr>
        <w:t>1</w:t>
      </w:r>
      <w:r>
        <w:t>, J. Montrella</w:t>
      </w:r>
      <w:r w:rsidRPr="00414A2D">
        <w:rPr>
          <w:vertAlign w:val="superscript"/>
        </w:rPr>
        <w:t>1</w:t>
      </w:r>
      <w:r>
        <w:t>, G. Greenfield</w:t>
      </w:r>
      <w:r>
        <w:rPr>
          <w:vertAlign w:val="superscript"/>
        </w:rPr>
        <w:t>2</w:t>
      </w:r>
      <w:r>
        <w:t>, J. Winter</w:t>
      </w:r>
      <w:r>
        <w:rPr>
          <w:vertAlign w:val="superscript"/>
        </w:rPr>
        <w:t>3</w:t>
      </w:r>
      <w:r>
        <w:t xml:space="preserve"> </w:t>
      </w:r>
      <w:r w:rsidR="006E7520" w:rsidRPr="006E7520">
        <w:t xml:space="preserve"> </w:t>
      </w:r>
      <w:r>
        <w:br/>
      </w:r>
      <w:r w:rsidRPr="00414A2D">
        <w:rPr>
          <w:vertAlign w:val="superscript"/>
        </w:rPr>
        <w:t>1</w:t>
      </w:r>
      <w:r w:rsidR="00E0473A">
        <w:t>Office of Surface Mining Reclamation Enforcement</w:t>
      </w:r>
      <w:r w:rsidR="006E7520" w:rsidRPr="006E7520">
        <w:t xml:space="preserve">, </w:t>
      </w:r>
      <w:r>
        <w:t>2</w:t>
      </w:r>
      <w:r w:rsidR="006E7520" w:rsidRPr="006E7520">
        <w:t xml:space="preserve">5 Limekiln Rd, New Cumberland, PA </w:t>
      </w:r>
      <w:r>
        <w:br/>
      </w:r>
      <w:r>
        <w:rPr>
          <w:vertAlign w:val="superscript"/>
        </w:rPr>
        <w:t>2</w:t>
      </w:r>
      <w:r w:rsidRPr="00414A2D">
        <w:t xml:space="preserve"> </w:t>
      </w:r>
      <w:r w:rsidRPr="00FF3F81">
        <w:t xml:space="preserve">Pennsylvania Department of Environmental Protection, Harrisburg, PA </w:t>
      </w:r>
      <w:r w:rsidRPr="006E7520">
        <w:t xml:space="preserve"> </w:t>
      </w:r>
      <w:r>
        <w:br/>
      </w:r>
      <w:r>
        <w:rPr>
          <w:vertAlign w:val="superscript"/>
        </w:rPr>
        <w:t>3</w:t>
      </w:r>
      <w:r w:rsidRPr="00414A2D">
        <w:t xml:space="preserve"> </w:t>
      </w:r>
      <w:r w:rsidRPr="00FF3F81">
        <w:t xml:space="preserve">Pennsylvania Department of Environmental Protection, </w:t>
      </w:r>
      <w:r>
        <w:t>Coal Center</w:t>
      </w:r>
      <w:r w:rsidRPr="00FF3F81">
        <w:t xml:space="preserve">, PA </w:t>
      </w:r>
      <w:r w:rsidRPr="006E7520">
        <w:t xml:space="preserve"> </w:t>
      </w:r>
    </w:p>
    <w:p w14:paraId="4E3EDA63" w14:textId="77777777" w:rsidR="00AF0F50" w:rsidRPr="006E7520" w:rsidRDefault="00AF0F50" w:rsidP="0030036D">
      <w:pPr>
        <w:pStyle w:val="BodyText"/>
        <w:jc w:val="center"/>
      </w:pPr>
    </w:p>
    <w:p w14:paraId="5C4CEB05" w14:textId="77777777" w:rsidR="00D84C5B" w:rsidRPr="00A86DC6" w:rsidRDefault="00A86DC6" w:rsidP="001B0A59">
      <w:pPr>
        <w:pStyle w:val="BodyText"/>
        <w:spacing w:before="3" w:line="360" w:lineRule="auto"/>
        <w:rPr>
          <w:b/>
        </w:rPr>
      </w:pPr>
      <w:r w:rsidRPr="00A86DC6">
        <w:rPr>
          <w:b/>
        </w:rPr>
        <w:t>Abstract:</w:t>
      </w:r>
    </w:p>
    <w:p w14:paraId="0DE0FD9B" w14:textId="7AFE8210" w:rsidR="006E23DE" w:rsidRDefault="00E0473A" w:rsidP="001B0A59">
      <w:pPr>
        <w:pStyle w:val="BodyText"/>
        <w:spacing w:line="360" w:lineRule="auto"/>
        <w:ind w:right="446" w:firstLine="547"/>
        <w:jc w:val="both"/>
      </w:pPr>
      <w:r>
        <w:t xml:space="preserve">Pennsylvania Department of Environmental Protection (PADEP) relies on the ability to predict the post-mining </w:t>
      </w:r>
      <w:r w:rsidR="00737B6B">
        <w:t xml:space="preserve">potentiometric </w:t>
      </w:r>
      <w:r>
        <w:t>surface of mine pool</w:t>
      </w:r>
      <w:r w:rsidR="00F96968">
        <w:t>s</w:t>
      </w:r>
      <w:r>
        <w:t xml:space="preserve"> as part of their post-mining discharge prevention strategy</w:t>
      </w:r>
      <w:r w:rsidR="006E23DE">
        <w:t xml:space="preserve"> for non-retreat room and pillar mines</w:t>
      </w:r>
      <w:r>
        <w:t xml:space="preserve">. </w:t>
      </w:r>
      <w:r w:rsidR="003B09D8">
        <w:t xml:space="preserve"> The strategy entails using the mine pool prediction to identify </w:t>
      </w:r>
      <w:r w:rsidR="00AE4022">
        <w:t>“discharge risk</w:t>
      </w:r>
      <w:r w:rsidR="006E23DE">
        <w:t xml:space="preserve"> </w:t>
      </w:r>
      <w:r w:rsidR="003B09D8">
        <w:t>areas</w:t>
      </w:r>
      <w:r w:rsidR="006E23DE">
        <w:t>”</w:t>
      </w:r>
      <w:r w:rsidR="003B09D8">
        <w:t xml:space="preserve"> </w:t>
      </w:r>
      <w:r w:rsidR="008C3E1E">
        <w:t>wher</w:t>
      </w:r>
      <w:r w:rsidR="003B09D8">
        <w:t xml:space="preserve">e the post-mining </w:t>
      </w:r>
      <w:r w:rsidR="00664E71">
        <w:t xml:space="preserve">potentiometric </w:t>
      </w:r>
      <w:r w:rsidR="003B09D8">
        <w:t xml:space="preserve">surface of the mine pool is predicted to be greater than </w:t>
      </w:r>
      <w:r w:rsidR="00F96968">
        <w:t xml:space="preserve">the </w:t>
      </w:r>
      <w:r w:rsidR="003B09D8">
        <w:t>land surface</w:t>
      </w:r>
      <w:r w:rsidR="00F96968">
        <w:t xml:space="preserve"> elevation</w:t>
      </w:r>
      <w:r w:rsidR="00AE4022">
        <w:t xml:space="preserve">. </w:t>
      </w:r>
      <w:r w:rsidR="006E23DE">
        <w:t xml:space="preserve"> Typically, no-mining zones are developed</w:t>
      </w:r>
      <w:r w:rsidR="008C3E1E">
        <w:t xml:space="preserve"> around these areas to prevent the potential for a</w:t>
      </w:r>
      <w:r w:rsidR="006E23DE">
        <w:t xml:space="preserve"> post-mining discharge. </w:t>
      </w:r>
    </w:p>
    <w:p w14:paraId="0B6DCE2C" w14:textId="44BB4BEA" w:rsidR="005F77DF" w:rsidRDefault="003B09D8" w:rsidP="005229A1">
      <w:pPr>
        <w:pStyle w:val="BodyText"/>
        <w:spacing w:line="360" w:lineRule="auto"/>
        <w:ind w:right="446" w:firstLine="547"/>
        <w:jc w:val="both"/>
      </w:pPr>
      <w:r>
        <w:t>PADEP and the Office Surface Mining Reclamation Enforcem</w:t>
      </w:r>
      <w:r w:rsidR="00592F25">
        <w:t>ent (OSMRE) conducted a study that</w:t>
      </w:r>
      <w:r>
        <w:t xml:space="preserve"> </w:t>
      </w:r>
      <w:r w:rsidR="006E23DE">
        <w:t>compare</w:t>
      </w:r>
      <w:r w:rsidR="00592F25">
        <w:t>d</w:t>
      </w:r>
      <w:r w:rsidR="006E23DE">
        <w:t xml:space="preserve"> the </w:t>
      </w:r>
      <w:r w:rsidR="00664E71">
        <w:t xml:space="preserve">pre-mining </w:t>
      </w:r>
      <w:r w:rsidR="006E23DE">
        <w:t xml:space="preserve">predictions developed in the permit application to the actual </w:t>
      </w:r>
      <w:r w:rsidR="00E10AC6">
        <w:t xml:space="preserve">measured </w:t>
      </w:r>
      <w:r w:rsidR="006E23DE">
        <w:t xml:space="preserve">post-mining potentiometric surface of the mine pool to evaluate the effectiveness of the permitting strategy. </w:t>
      </w:r>
      <w:r w:rsidR="00592F25">
        <w:t xml:space="preserve"> The prediction for the post-mining potentio</w:t>
      </w:r>
      <w:bookmarkStart w:id="0" w:name="_GoBack"/>
      <w:bookmarkEnd w:id="0"/>
      <w:r w:rsidR="00592F25">
        <w:t>metric surface of the mine pool was based on the highest elevation</w:t>
      </w:r>
      <w:r w:rsidR="00664E71">
        <w:t xml:space="preserve"> of mining </w:t>
      </w:r>
      <w:r w:rsidR="00592F25">
        <w:t>in the mine plan</w:t>
      </w:r>
      <w:r w:rsidR="00664E71">
        <w:t xml:space="preserve"> for the four mines reviewed</w:t>
      </w:r>
      <w:r w:rsidR="00592F25">
        <w:t>. This prediction strategy produced a</w:t>
      </w:r>
      <w:r w:rsidR="006E23DE">
        <w:t xml:space="preserve"> discrepancy between</w:t>
      </w:r>
      <w:r w:rsidR="00592F25">
        <w:t xml:space="preserve"> the</w:t>
      </w:r>
      <w:r w:rsidR="006E23DE">
        <w:t xml:space="preserve"> predicted and </w:t>
      </w:r>
      <w:r w:rsidR="00846D59">
        <w:t xml:space="preserve">the </w:t>
      </w:r>
      <w:r w:rsidR="006E23DE">
        <w:t xml:space="preserve">actual </w:t>
      </w:r>
      <w:r w:rsidR="005F77DF">
        <w:t xml:space="preserve">potentiometric surface </w:t>
      </w:r>
      <w:r w:rsidR="00592F25">
        <w:t xml:space="preserve">of the mine pool that </w:t>
      </w:r>
      <w:r w:rsidR="005F77DF">
        <w:t>ranged from +20 to +87 f</w:t>
      </w:r>
      <w:r w:rsidR="00664E71">
        <w:t>ee</w:t>
      </w:r>
      <w:r w:rsidR="005F77DF">
        <w:t>t</w:t>
      </w:r>
      <w:r w:rsidR="00217958">
        <w:t xml:space="preserve">. </w:t>
      </w:r>
      <w:r w:rsidR="005F77DF">
        <w:t xml:space="preserve"> </w:t>
      </w:r>
      <w:r w:rsidR="00217958">
        <w:t>T</w:t>
      </w:r>
      <w:r w:rsidR="005F77DF">
        <w:t xml:space="preserve">he </w:t>
      </w:r>
      <w:r w:rsidR="00F96968">
        <w:t>discrepancies</w:t>
      </w:r>
      <w:r w:rsidR="005F77DF">
        <w:t xml:space="preserve"> resulted in the</w:t>
      </w:r>
      <w:r w:rsidR="00664E71">
        <w:t xml:space="preserve"> </w:t>
      </w:r>
      <w:r w:rsidR="005F77DF">
        <w:t xml:space="preserve">hydrologic scenario (potentiometric surface &gt; </w:t>
      </w:r>
      <w:r w:rsidR="00217958">
        <w:t xml:space="preserve">land </w:t>
      </w:r>
      <w:r w:rsidR="00664E71">
        <w:t xml:space="preserve">surface elevation) that </w:t>
      </w:r>
      <w:r w:rsidR="005F77DF">
        <w:t xml:space="preserve">the permitting strategy was designed to prevent. </w:t>
      </w:r>
    </w:p>
    <w:p w14:paraId="0E8B1D91" w14:textId="29281B4C" w:rsidR="00414A2D" w:rsidRDefault="005F77DF" w:rsidP="006E23DE">
      <w:pPr>
        <w:pStyle w:val="BodyText"/>
        <w:spacing w:line="360" w:lineRule="auto"/>
        <w:ind w:right="446" w:firstLine="547"/>
        <w:jc w:val="both"/>
      </w:pPr>
      <w:r>
        <w:t xml:space="preserve"> </w:t>
      </w:r>
      <w:r w:rsidR="005229A1">
        <w:t xml:space="preserve">All </w:t>
      </w:r>
      <w:r w:rsidR="00664E71">
        <w:t>four</w:t>
      </w:r>
      <w:r w:rsidR="005229A1">
        <w:t xml:space="preserve"> mines reviewed </w:t>
      </w:r>
      <w:r w:rsidR="00414A2D">
        <w:t>included</w:t>
      </w:r>
      <w:r w:rsidR="00664E71">
        <w:t xml:space="preserve"> pre-mining</w:t>
      </w:r>
      <w:r w:rsidR="00414A2D">
        <w:t xml:space="preserve"> piezometer data to establish the baseline condition of the potentiometric surface of the coal seam as part of the permit application. </w:t>
      </w:r>
      <w:r w:rsidR="008C3E1E">
        <w:t xml:space="preserve"> Using the pre-mining potentiometric head of the coal seam near the high</w:t>
      </w:r>
      <w:r w:rsidR="00592F25">
        <w:t>est elevation in the mine plan</w:t>
      </w:r>
      <w:r w:rsidR="001D6FEF">
        <w:t xml:space="preserve"> would have</w:t>
      </w:r>
      <w:r w:rsidR="00846D59">
        <w:t xml:space="preserve"> i</w:t>
      </w:r>
      <w:r w:rsidR="00664E71">
        <w:t>mproved the prediction for each of the</w:t>
      </w:r>
      <w:r w:rsidR="00846D59">
        <w:t xml:space="preserve"> mine</w:t>
      </w:r>
      <w:r w:rsidR="00664E71">
        <w:t>s</w:t>
      </w:r>
      <w:r w:rsidR="00846D59">
        <w:t xml:space="preserve"> and would have</w:t>
      </w:r>
      <w:r w:rsidR="001D6FEF">
        <w:t xml:space="preserve"> reduced the discrepancy </w:t>
      </w:r>
      <w:r w:rsidR="00237B2C">
        <w:t>to</w:t>
      </w:r>
      <w:r w:rsidR="00846D59">
        <w:t xml:space="preserve"> </w:t>
      </w:r>
      <w:r w:rsidR="008C3E1E">
        <w:t>+</w:t>
      </w:r>
      <w:r w:rsidR="00237B2C">
        <w:t>/-</w:t>
      </w:r>
      <w:r w:rsidR="008C3E1E">
        <w:t>20</w:t>
      </w:r>
      <w:r w:rsidR="00237B2C">
        <w:t xml:space="preserve"> feet for the four mines</w:t>
      </w:r>
      <w:r w:rsidR="008C3E1E">
        <w:t xml:space="preserve">. </w:t>
      </w:r>
      <w:r w:rsidR="00592F25">
        <w:t xml:space="preserve"> </w:t>
      </w:r>
      <w:r w:rsidR="0077791E">
        <w:t>PADEP is</w:t>
      </w:r>
      <w:r w:rsidR="00592F25">
        <w:t xml:space="preserve"> now</w:t>
      </w:r>
      <w:r w:rsidR="0077791E">
        <w:t xml:space="preserve"> using </w:t>
      </w:r>
      <w:r w:rsidR="00F3086A">
        <w:t>pre-m</w:t>
      </w:r>
      <w:r w:rsidR="00592F25">
        <w:t>ining piezometer data from the coal seam near the highest elevation</w:t>
      </w:r>
      <w:r w:rsidR="00664E71">
        <w:t xml:space="preserve"> proposed for mining</w:t>
      </w:r>
      <w:r w:rsidR="00592F25">
        <w:t xml:space="preserve"> as an improved method to predict the post-mining potentiometric</w:t>
      </w:r>
      <w:r w:rsidR="001D6FEF">
        <w:t xml:space="preserve"> surface of the mine pool </w:t>
      </w:r>
      <w:r w:rsidR="00846D59">
        <w:t>as part of their discharge prevention permitting strategy</w:t>
      </w:r>
      <w:r w:rsidR="00592F25">
        <w:t xml:space="preserve">. </w:t>
      </w:r>
    </w:p>
    <w:p w14:paraId="09FA0445" w14:textId="77777777" w:rsidR="00414A2D" w:rsidRDefault="00414A2D" w:rsidP="006E23DE">
      <w:pPr>
        <w:pStyle w:val="BodyText"/>
        <w:spacing w:line="360" w:lineRule="auto"/>
        <w:ind w:right="446" w:firstLine="547"/>
        <w:jc w:val="both"/>
      </w:pPr>
    </w:p>
    <w:p w14:paraId="57826E35" w14:textId="77777777" w:rsidR="001F04B3" w:rsidRDefault="001F04B3" w:rsidP="001F04B3">
      <w:pPr>
        <w:pStyle w:val="BodyText"/>
        <w:spacing w:line="276" w:lineRule="exact"/>
        <w:ind w:right="167"/>
      </w:pPr>
    </w:p>
    <w:p w14:paraId="41CAC85C" w14:textId="77777777" w:rsidR="001F04B3" w:rsidRDefault="001F04B3" w:rsidP="00A86DC6">
      <w:pPr>
        <w:pStyle w:val="BodyText"/>
        <w:spacing w:line="271" w:lineRule="auto"/>
        <w:ind w:right="446" w:firstLine="547"/>
        <w:jc w:val="both"/>
      </w:pPr>
    </w:p>
    <w:p w14:paraId="1B755AD9" w14:textId="77777777" w:rsidR="00AD33D0" w:rsidRDefault="00AD33D0">
      <w:pPr>
        <w:sectPr w:rsidR="00AD33D0" w:rsidSect="00AD33D0">
          <w:pgSz w:w="12240" w:h="15840"/>
          <w:pgMar w:top="1360" w:right="1320" w:bottom="1260" w:left="1340" w:header="0" w:footer="1065" w:gutter="0"/>
          <w:cols w:space="720"/>
          <w:docGrid w:linePitch="299"/>
        </w:sectPr>
      </w:pPr>
    </w:p>
    <w:p w14:paraId="002B001E" w14:textId="77777777" w:rsidR="00241145" w:rsidRDefault="00241145"/>
    <w:p w14:paraId="0CB024BE" w14:textId="77777777" w:rsidR="00AD33D0" w:rsidRDefault="00AD33D0" w:rsidP="00F41A5E">
      <w:pPr>
        <w:jc w:val="center"/>
      </w:pPr>
    </w:p>
    <w:sectPr w:rsidR="00AD33D0" w:rsidSect="00AD33D0">
      <w:pgSz w:w="12240" w:h="15840"/>
      <w:pgMar w:top="1354" w:right="1325" w:bottom="1267" w:left="1339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2B951" w14:textId="77777777" w:rsidR="00E46CC4" w:rsidRDefault="00E46CC4">
      <w:r>
        <w:separator/>
      </w:r>
    </w:p>
  </w:endnote>
  <w:endnote w:type="continuationSeparator" w:id="0">
    <w:p w14:paraId="141F0934" w14:textId="77777777" w:rsidR="00E46CC4" w:rsidRDefault="00E4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FDC36" w14:textId="77777777" w:rsidR="00E46CC4" w:rsidRDefault="00E46CC4">
      <w:r>
        <w:separator/>
      </w:r>
    </w:p>
  </w:footnote>
  <w:footnote w:type="continuationSeparator" w:id="0">
    <w:p w14:paraId="63F2219F" w14:textId="77777777" w:rsidR="00E46CC4" w:rsidRDefault="00E4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5B"/>
    <w:rsid w:val="000100D5"/>
    <w:rsid w:val="00013624"/>
    <w:rsid w:val="000231AC"/>
    <w:rsid w:val="0002470D"/>
    <w:rsid w:val="00035583"/>
    <w:rsid w:val="00046BF7"/>
    <w:rsid w:val="00050553"/>
    <w:rsid w:val="0007252C"/>
    <w:rsid w:val="00072E32"/>
    <w:rsid w:val="000B76B3"/>
    <w:rsid w:val="000B7A2A"/>
    <w:rsid w:val="00111748"/>
    <w:rsid w:val="001158FC"/>
    <w:rsid w:val="0011715C"/>
    <w:rsid w:val="00125D77"/>
    <w:rsid w:val="00133CC9"/>
    <w:rsid w:val="00152AF8"/>
    <w:rsid w:val="00154BF1"/>
    <w:rsid w:val="00160004"/>
    <w:rsid w:val="001B0A59"/>
    <w:rsid w:val="001B6119"/>
    <w:rsid w:val="001C3AF5"/>
    <w:rsid w:val="001C5DE7"/>
    <w:rsid w:val="001D6FEF"/>
    <w:rsid w:val="001F04B3"/>
    <w:rsid w:val="0020663C"/>
    <w:rsid w:val="00217958"/>
    <w:rsid w:val="00237B2C"/>
    <w:rsid w:val="00241145"/>
    <w:rsid w:val="00253E26"/>
    <w:rsid w:val="0025415D"/>
    <w:rsid w:val="002A2F5F"/>
    <w:rsid w:val="002B1C52"/>
    <w:rsid w:val="0030036D"/>
    <w:rsid w:val="003339D6"/>
    <w:rsid w:val="00365372"/>
    <w:rsid w:val="003A47E5"/>
    <w:rsid w:val="003A691E"/>
    <w:rsid w:val="003B09D8"/>
    <w:rsid w:val="003C55FC"/>
    <w:rsid w:val="003D1C14"/>
    <w:rsid w:val="00414A2D"/>
    <w:rsid w:val="00426C8F"/>
    <w:rsid w:val="00427831"/>
    <w:rsid w:val="00441B59"/>
    <w:rsid w:val="0045758B"/>
    <w:rsid w:val="00461830"/>
    <w:rsid w:val="004A2E05"/>
    <w:rsid w:val="005229A1"/>
    <w:rsid w:val="00525BC2"/>
    <w:rsid w:val="0053153E"/>
    <w:rsid w:val="0053623A"/>
    <w:rsid w:val="00541759"/>
    <w:rsid w:val="00584322"/>
    <w:rsid w:val="005870D4"/>
    <w:rsid w:val="00592F25"/>
    <w:rsid w:val="005D3C23"/>
    <w:rsid w:val="005F77DF"/>
    <w:rsid w:val="00610CB6"/>
    <w:rsid w:val="00612C1A"/>
    <w:rsid w:val="00623E29"/>
    <w:rsid w:val="00652F1B"/>
    <w:rsid w:val="00657B47"/>
    <w:rsid w:val="00663FF3"/>
    <w:rsid w:val="00664E71"/>
    <w:rsid w:val="00676F23"/>
    <w:rsid w:val="00691DBE"/>
    <w:rsid w:val="006A38F6"/>
    <w:rsid w:val="006D3F77"/>
    <w:rsid w:val="006E23DE"/>
    <w:rsid w:val="006E7520"/>
    <w:rsid w:val="006F2DB6"/>
    <w:rsid w:val="00706205"/>
    <w:rsid w:val="007341CF"/>
    <w:rsid w:val="00737B6B"/>
    <w:rsid w:val="00776675"/>
    <w:rsid w:val="00777226"/>
    <w:rsid w:val="0077791E"/>
    <w:rsid w:val="00792869"/>
    <w:rsid w:val="007934C7"/>
    <w:rsid w:val="007A2905"/>
    <w:rsid w:val="007A3448"/>
    <w:rsid w:val="007E2F76"/>
    <w:rsid w:val="007E38E8"/>
    <w:rsid w:val="007E4C7E"/>
    <w:rsid w:val="007E619B"/>
    <w:rsid w:val="007E7B3E"/>
    <w:rsid w:val="007F0A74"/>
    <w:rsid w:val="008214A3"/>
    <w:rsid w:val="00846D59"/>
    <w:rsid w:val="0085471D"/>
    <w:rsid w:val="008B1B8F"/>
    <w:rsid w:val="008C3E1E"/>
    <w:rsid w:val="008C506B"/>
    <w:rsid w:val="008F6DBB"/>
    <w:rsid w:val="009048CB"/>
    <w:rsid w:val="00916546"/>
    <w:rsid w:val="00917C0C"/>
    <w:rsid w:val="00933C12"/>
    <w:rsid w:val="0099591A"/>
    <w:rsid w:val="009B5239"/>
    <w:rsid w:val="009C2506"/>
    <w:rsid w:val="00A00BF5"/>
    <w:rsid w:val="00A66631"/>
    <w:rsid w:val="00A70017"/>
    <w:rsid w:val="00A86DC6"/>
    <w:rsid w:val="00A92762"/>
    <w:rsid w:val="00AA4398"/>
    <w:rsid w:val="00AB0524"/>
    <w:rsid w:val="00AB5DEF"/>
    <w:rsid w:val="00AC7342"/>
    <w:rsid w:val="00AD33D0"/>
    <w:rsid w:val="00AE4022"/>
    <w:rsid w:val="00AF0F50"/>
    <w:rsid w:val="00B224A2"/>
    <w:rsid w:val="00B2661D"/>
    <w:rsid w:val="00B3661D"/>
    <w:rsid w:val="00B65456"/>
    <w:rsid w:val="00B90060"/>
    <w:rsid w:val="00BA0B96"/>
    <w:rsid w:val="00BA7DF3"/>
    <w:rsid w:val="00BB0A29"/>
    <w:rsid w:val="00BB60F7"/>
    <w:rsid w:val="00BC2CA8"/>
    <w:rsid w:val="00BC3AF1"/>
    <w:rsid w:val="00BF15E5"/>
    <w:rsid w:val="00C214E3"/>
    <w:rsid w:val="00C277D4"/>
    <w:rsid w:val="00C60330"/>
    <w:rsid w:val="00CB28CB"/>
    <w:rsid w:val="00CD6015"/>
    <w:rsid w:val="00CF145E"/>
    <w:rsid w:val="00CF2FEE"/>
    <w:rsid w:val="00D0263B"/>
    <w:rsid w:val="00D234DA"/>
    <w:rsid w:val="00D40753"/>
    <w:rsid w:val="00D422D0"/>
    <w:rsid w:val="00D43844"/>
    <w:rsid w:val="00D44813"/>
    <w:rsid w:val="00D84C5B"/>
    <w:rsid w:val="00D9796D"/>
    <w:rsid w:val="00DB5F96"/>
    <w:rsid w:val="00DD133A"/>
    <w:rsid w:val="00DD1805"/>
    <w:rsid w:val="00DF7815"/>
    <w:rsid w:val="00E0473A"/>
    <w:rsid w:val="00E10AC6"/>
    <w:rsid w:val="00E326D9"/>
    <w:rsid w:val="00E34C8A"/>
    <w:rsid w:val="00E423A9"/>
    <w:rsid w:val="00E46CC4"/>
    <w:rsid w:val="00E66A1E"/>
    <w:rsid w:val="00E727A4"/>
    <w:rsid w:val="00E83E28"/>
    <w:rsid w:val="00EB75D2"/>
    <w:rsid w:val="00ED01A4"/>
    <w:rsid w:val="00EF6E01"/>
    <w:rsid w:val="00F27E1E"/>
    <w:rsid w:val="00F3086A"/>
    <w:rsid w:val="00F31E04"/>
    <w:rsid w:val="00F41A5E"/>
    <w:rsid w:val="00F64E10"/>
    <w:rsid w:val="00F77089"/>
    <w:rsid w:val="00F904E6"/>
    <w:rsid w:val="00F948F3"/>
    <w:rsid w:val="00F96968"/>
    <w:rsid w:val="00FB3E46"/>
    <w:rsid w:val="00FB4F30"/>
    <w:rsid w:val="00FD5DB1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7009D"/>
  <w15:docId w15:val="{BBF60841-9293-4564-A4E6-00D3033C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0"/>
      <w:ind w:left="136" w:right="206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8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3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6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D0"/>
    <w:rPr>
      <w:rFonts w:ascii="Tahoma" w:eastAsia="Times New Roman" w:hAnsi="Tahoma" w:cs="Tahoma"/>
      <w:sz w:val="16"/>
      <w:szCs w:val="16"/>
    </w:rPr>
  </w:style>
  <w:style w:type="paragraph" w:customStyle="1" w:styleId="Reference">
    <w:name w:val="Reference"/>
    <w:basedOn w:val="Normal"/>
    <w:qFormat/>
    <w:rsid w:val="001F04B3"/>
    <w:pPr>
      <w:widowControl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/>
      <w:autoSpaceDN/>
      <w:adjustRightInd w:val="0"/>
      <w:spacing w:before="100" w:beforeAutospacing="1" w:after="100" w:afterAutospacing="1" w:line="360" w:lineRule="auto"/>
      <w:ind w:left="288" w:hanging="288"/>
      <w:textAlignment w:val="baseline"/>
    </w:pPr>
    <w:rPr>
      <w:noProof/>
      <w:color w:val="000000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9B52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7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DA9B-11B5-4A2D-B439-56936196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wvtf-asmr-arri-2017-abstracts-form.docx</vt:lpstr>
    </vt:vector>
  </TitlesOfParts>
  <Company>Microsoft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wvtf-asmr-arri-2017-abstracts-form.docx</dc:title>
  <dc:creator>cravotta</dc:creator>
  <cp:lastModifiedBy>Means, Brent P.</cp:lastModifiedBy>
  <cp:revision>4</cp:revision>
  <dcterms:created xsi:type="dcterms:W3CDTF">2018-03-21T19:20:00Z</dcterms:created>
  <dcterms:modified xsi:type="dcterms:W3CDTF">2018-03-21T19:22:00Z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2016-12-02T00:00:00Z</vt:filetime>
  </property>
</Properties>
</file>